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360"/>
          <w:tab w:val="left" w:pos="993"/>
          <w:tab w:val="left" w:pos="1620"/>
        </w:tabs>
        <w:spacing w:after="0" w:line="240" w:lineRule="auto"/>
        <w:ind w:right="-91"/>
        <w:jc w:val="both"/>
        <w:rPr>
          <w:rFonts w:ascii="Arial" w:eastAsia="Times New Roman" w:hAnsi="Arial" w:cs="Arial"/>
          <w:b/>
          <w:lang w:val="es-ES" w:eastAsia="es-ES"/>
        </w:rPr>
      </w:pPr>
      <w:r w:rsidRPr="00CD0A30">
        <w:rPr>
          <w:rFonts w:ascii="Arial" w:eastAsia="Times New Roman" w:hAnsi="Arial" w:cs="Arial"/>
          <w:b/>
          <w:lang w:val="es-ES" w:eastAsia="es-ES"/>
        </w:rPr>
        <w:t>EP. 51.-</w:t>
      </w:r>
      <w:r w:rsidRPr="00CD0A30">
        <w:rPr>
          <w:rFonts w:ascii="Arial" w:eastAsia="Times New Roman" w:hAnsi="Arial" w:cs="Arial"/>
          <w:b/>
          <w:lang w:val="es-ES" w:eastAsia="es-ES"/>
        </w:rPr>
        <w:tab/>
        <w:t>SUMINISTRO, HABILITADO Y COLOCACIÓN DE PUERTA BILCO O SIMILAR EQUIVALENTE DE CLARO LIBRE DE  3.00 X 2.70 METROS</w:t>
      </w:r>
    </w:p>
    <w:p w:rsidR="00CD0A30" w:rsidRPr="00CD0A30" w:rsidRDefault="00CD0A30" w:rsidP="00CD0A30">
      <w:pPr>
        <w:tabs>
          <w:tab w:val="left" w:pos="360"/>
          <w:tab w:val="left" w:pos="1276"/>
          <w:tab w:val="left" w:pos="1620"/>
        </w:tabs>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szCs w:val="20"/>
          <w:lang w:val="es-ES" w:eastAsia="es-ES"/>
        </w:rPr>
      </w:pPr>
      <w:r w:rsidRPr="00CD0A30">
        <w:rPr>
          <w:rFonts w:ascii="Arial" w:eastAsia="Times New Roman" w:hAnsi="Arial" w:cs="Arial"/>
          <w:szCs w:val="20"/>
          <w:lang w:val="es-ES" w:eastAsia="es-ES"/>
        </w:rPr>
        <w:t xml:space="preserve">Suministro, habilitado y colocación de puerta </w:t>
      </w:r>
      <w:proofErr w:type="spellStart"/>
      <w:r w:rsidRPr="00CD0A30">
        <w:rPr>
          <w:rFonts w:ascii="Arial" w:eastAsia="Times New Roman" w:hAnsi="Arial" w:cs="Arial"/>
          <w:szCs w:val="20"/>
          <w:lang w:val="es-ES" w:eastAsia="es-ES"/>
        </w:rPr>
        <w:t>bilco</w:t>
      </w:r>
      <w:proofErr w:type="spellEnd"/>
      <w:r w:rsidRPr="00CD0A30">
        <w:rPr>
          <w:rFonts w:ascii="Arial" w:eastAsia="Times New Roman" w:hAnsi="Arial" w:cs="Arial"/>
          <w:szCs w:val="20"/>
          <w:lang w:val="es-ES" w:eastAsia="es-ES"/>
        </w:rPr>
        <w:t xml:space="preserve"> o similar equivalente de claro libre de  3.00 x 2.70 metros, a base de placa de acero de ¼ configurada en rombos para resistir una sobrecarga de 732 kg/m2, bisagras de acción tipo leva, cerrojo de cierre de acero inoxidable tipo 316 con manivela interior fija y exterior desmontable, con marco y contramarco de ángulo de 1/4x3x3, con elevación asistida barras de torsión que giran sobre bisagras de accionamiento tipo leva y demás elementos según proyecto, el precio unitario incluye: los equipos, herramienta y mano de obra para realizar el trabajo; los materiales puestos en el sitio de su colocación; mermas y desperdicios; lámina, ángulo, bisagras, cerradura, elevación asistida, pintura primario </w:t>
      </w:r>
      <w:proofErr w:type="spellStart"/>
      <w:r w:rsidRPr="00CD0A30">
        <w:rPr>
          <w:rFonts w:ascii="Arial" w:eastAsia="Times New Roman" w:hAnsi="Arial" w:cs="Arial"/>
          <w:szCs w:val="20"/>
          <w:lang w:val="es-ES" w:eastAsia="es-ES"/>
        </w:rPr>
        <w:t>alquidálico</w:t>
      </w:r>
      <w:proofErr w:type="spellEnd"/>
      <w:r w:rsidRPr="00CD0A30">
        <w:rPr>
          <w:rFonts w:ascii="Arial" w:eastAsia="Times New Roman" w:hAnsi="Arial" w:cs="Arial"/>
          <w:szCs w:val="20"/>
          <w:lang w:val="es-ES" w:eastAsia="es-ES"/>
        </w:rPr>
        <w:t>, herrajes galvanizados;   trazo y nivelación las veces necesarias; el contratista será el responsable de la protección de los elementos de este concepto hasta la entrega al organismo operador, deberá reponer los elementos dañados las veces que sean necesarias; los acarreos internos necesarios;  así como; Maquinaria, equipo, herramienta y mano de obra para la ejecución del concepto puestos en el sitio de su utilización; los tiempos en activo, en espera y muertos para dar cumplimiento al proceso constructivo y a las condiciones de uso de vía pública; combustibles y lubricantes,  el retiro del material producto de la actividad al banco de tiro en un radio no mayor de 20 km, se entiende por similar equivalente aquellos materiales que cumplen como mínimo con las mismas especificaciones técnicas de calidad, duración y garantía, y todo lo necesario para su correcta ejecución por unidad de obra terminada.</w:t>
      </w:r>
    </w:p>
    <w:p w:rsidR="00CD0A30" w:rsidRPr="00CD0A30" w:rsidRDefault="00CD0A30" w:rsidP="00CD0A30">
      <w:pPr>
        <w:spacing w:after="0" w:line="240" w:lineRule="auto"/>
        <w:ind w:right="-91"/>
        <w:jc w:val="both"/>
        <w:rPr>
          <w:rFonts w:ascii="Arial" w:eastAsia="Times New Roman" w:hAnsi="Arial" w:cs="Arial"/>
          <w:szCs w:val="20"/>
          <w:lang w:val="es-ES" w:eastAsia="es-ES"/>
        </w:rPr>
      </w:pPr>
    </w:p>
    <w:p w:rsidR="00292E0D" w:rsidRDefault="00292E0D" w:rsidP="00CD0A30">
      <w:pPr>
        <w:spacing w:after="0" w:line="240" w:lineRule="auto"/>
        <w:ind w:right="-91"/>
        <w:jc w:val="both"/>
        <w:rPr>
          <w:rFonts w:ascii="Arial" w:eastAsia="Times New Roman" w:hAnsi="Arial" w:cs="Arial"/>
          <w:b/>
          <w:szCs w:val="20"/>
          <w:lang w:val="es-ES" w:eastAsia="es-ES"/>
        </w:rPr>
      </w:pPr>
    </w:p>
    <w:p w:rsidR="00CD0A30" w:rsidRPr="00CD0A30" w:rsidRDefault="00CD0A30" w:rsidP="00CD0A30">
      <w:pPr>
        <w:spacing w:after="0" w:line="240" w:lineRule="auto"/>
        <w:ind w:right="-91"/>
        <w:jc w:val="both"/>
        <w:rPr>
          <w:rFonts w:ascii="Arial" w:eastAsia="Times New Roman" w:hAnsi="Arial" w:cs="Arial"/>
          <w:b/>
          <w:szCs w:val="20"/>
          <w:lang w:val="es-ES" w:eastAsia="es-ES"/>
        </w:rPr>
      </w:pPr>
      <w:r w:rsidRPr="00CD0A30">
        <w:rPr>
          <w:rFonts w:ascii="Arial" w:eastAsia="Times New Roman" w:hAnsi="Arial" w:cs="Arial"/>
          <w:b/>
          <w:szCs w:val="20"/>
          <w:lang w:val="es-ES" w:eastAsia="es-ES"/>
        </w:rPr>
        <w:t>ESPECIFICACIONES.-</w:t>
      </w:r>
    </w:p>
    <w:p w:rsidR="00CD0A30" w:rsidRDefault="00CD0A30" w:rsidP="00CD0A30">
      <w:pPr>
        <w:spacing w:after="0" w:line="240" w:lineRule="auto"/>
        <w:ind w:right="-91"/>
        <w:jc w:val="both"/>
        <w:rPr>
          <w:rFonts w:ascii="Arial" w:eastAsia="Times New Roman" w:hAnsi="Arial" w:cs="Arial"/>
          <w:szCs w:val="20"/>
          <w:lang w:val="es-ES" w:eastAsia="es-ES"/>
        </w:rPr>
      </w:pPr>
      <w:r w:rsidRPr="00CD0A30">
        <w:rPr>
          <w:rFonts w:ascii="Arial" w:eastAsia="Times New Roman" w:hAnsi="Arial" w:cs="Arial"/>
          <w:szCs w:val="20"/>
          <w:lang w:val="es-ES" w:eastAsia="es-ES"/>
        </w:rPr>
        <w:t>Material</w:t>
      </w:r>
      <w:r w:rsidR="00292E0D">
        <w:rPr>
          <w:rFonts w:ascii="Arial" w:eastAsia="Times New Roman" w:hAnsi="Arial" w:cs="Arial"/>
          <w:szCs w:val="20"/>
          <w:lang w:val="es-ES" w:eastAsia="es-ES"/>
        </w:rPr>
        <w:t>: La</w:t>
      </w:r>
      <w:r w:rsidRPr="00CD0A30">
        <w:rPr>
          <w:rFonts w:ascii="Arial" w:eastAsia="Times New Roman" w:hAnsi="Arial" w:cs="Arial"/>
          <w:szCs w:val="20"/>
          <w:lang w:val="es-ES" w:eastAsia="es-ES"/>
        </w:rPr>
        <w:t xml:space="preserve"> cubierta y el marco son de acero de 1/4” (6,35 mm) </w:t>
      </w:r>
    </w:p>
    <w:p w:rsidR="00292E0D" w:rsidRPr="00CD0A30" w:rsidRDefault="00292E0D" w:rsidP="00CD0A30">
      <w:pPr>
        <w:spacing w:after="0" w:line="240" w:lineRule="auto"/>
        <w:ind w:right="-91"/>
        <w:jc w:val="both"/>
        <w:rPr>
          <w:rFonts w:ascii="Arial" w:eastAsia="Times New Roman" w:hAnsi="Arial" w:cs="Arial"/>
          <w:szCs w:val="20"/>
          <w:lang w:val="es-ES" w:eastAsia="es-ES"/>
        </w:rPr>
      </w:pPr>
    </w:p>
    <w:p w:rsidR="00CD0A30" w:rsidRPr="00CD0A30" w:rsidRDefault="00CD0A30" w:rsidP="00CD0A30">
      <w:pPr>
        <w:spacing w:after="0" w:line="240" w:lineRule="auto"/>
        <w:ind w:right="-91"/>
        <w:jc w:val="both"/>
        <w:rPr>
          <w:rFonts w:ascii="Arial" w:eastAsia="Times New Roman" w:hAnsi="Arial" w:cs="Arial"/>
          <w:szCs w:val="20"/>
          <w:lang w:val="es-ES" w:eastAsia="es-ES"/>
        </w:rPr>
      </w:pPr>
      <w:r w:rsidRPr="00CD0A30">
        <w:rPr>
          <w:rFonts w:ascii="Arial" w:eastAsia="Times New Roman" w:hAnsi="Arial" w:cs="Arial"/>
          <w:szCs w:val="20"/>
          <w:lang w:val="es-ES" w:eastAsia="es-ES"/>
        </w:rPr>
        <w:t>Cubierta</w:t>
      </w:r>
      <w:r w:rsidR="00292E0D">
        <w:rPr>
          <w:rFonts w:ascii="Arial" w:eastAsia="Times New Roman" w:hAnsi="Arial" w:cs="Arial"/>
          <w:szCs w:val="20"/>
          <w:lang w:val="es-ES" w:eastAsia="es-ES"/>
        </w:rPr>
        <w:t xml:space="preserve">: </w:t>
      </w:r>
      <w:r w:rsidRPr="00CD0A30">
        <w:rPr>
          <w:rFonts w:ascii="Arial" w:eastAsia="Times New Roman" w:hAnsi="Arial" w:cs="Arial"/>
          <w:szCs w:val="20"/>
          <w:lang w:val="es-ES" w:eastAsia="es-ES"/>
        </w:rPr>
        <w:t>Placa estriada con configuración en rombos para resistir una sobrecarga de 150 lb/pie2 (732 kg/m2).</w:t>
      </w:r>
    </w:p>
    <w:p w:rsidR="00292E0D" w:rsidRDefault="00292E0D" w:rsidP="00CD0A30">
      <w:pPr>
        <w:spacing w:after="0" w:line="240" w:lineRule="auto"/>
        <w:ind w:right="-91"/>
        <w:jc w:val="both"/>
        <w:rPr>
          <w:rFonts w:ascii="Arial" w:eastAsia="Times New Roman" w:hAnsi="Arial" w:cs="Arial"/>
          <w:szCs w:val="20"/>
          <w:lang w:val="es-ES" w:eastAsia="es-ES"/>
        </w:rPr>
      </w:pPr>
    </w:p>
    <w:p w:rsidR="00CD0A30" w:rsidRPr="00CD0A30" w:rsidRDefault="00CD0A30" w:rsidP="00CD0A30">
      <w:pPr>
        <w:spacing w:after="0" w:line="240" w:lineRule="auto"/>
        <w:ind w:right="-91"/>
        <w:jc w:val="both"/>
        <w:rPr>
          <w:rFonts w:ascii="Arial" w:eastAsia="Times New Roman" w:hAnsi="Arial" w:cs="Arial"/>
          <w:szCs w:val="20"/>
          <w:lang w:val="es-ES" w:eastAsia="es-ES"/>
        </w:rPr>
      </w:pPr>
      <w:r w:rsidRPr="00CD0A30">
        <w:rPr>
          <w:rFonts w:ascii="Arial" w:eastAsia="Times New Roman" w:hAnsi="Arial" w:cs="Arial"/>
          <w:szCs w:val="20"/>
          <w:lang w:val="es-ES" w:eastAsia="es-ES"/>
        </w:rPr>
        <w:t>Marco</w:t>
      </w:r>
      <w:r w:rsidR="00292E0D">
        <w:rPr>
          <w:rFonts w:ascii="Arial" w:eastAsia="Times New Roman" w:hAnsi="Arial" w:cs="Arial"/>
          <w:szCs w:val="20"/>
          <w:lang w:val="es-ES" w:eastAsia="es-ES"/>
        </w:rPr>
        <w:t xml:space="preserve">: </w:t>
      </w:r>
      <w:r w:rsidRPr="00CD0A30">
        <w:rPr>
          <w:rFonts w:ascii="Arial" w:eastAsia="Times New Roman" w:hAnsi="Arial" w:cs="Arial"/>
          <w:szCs w:val="20"/>
          <w:lang w:val="es-ES" w:eastAsia="es-ES"/>
        </w:rPr>
        <w:t>Marco conformado con perfiles ángulo de acero con flejes de anclaje soldados en el perímetro del marco.</w:t>
      </w:r>
    </w:p>
    <w:p w:rsidR="00292E0D" w:rsidRDefault="00292E0D" w:rsidP="00CD0A30">
      <w:pPr>
        <w:spacing w:after="0" w:line="240" w:lineRule="auto"/>
        <w:ind w:right="-91"/>
        <w:jc w:val="both"/>
        <w:rPr>
          <w:rFonts w:ascii="Arial" w:eastAsia="Times New Roman" w:hAnsi="Arial" w:cs="Arial"/>
          <w:szCs w:val="20"/>
          <w:lang w:val="es-ES" w:eastAsia="es-ES"/>
        </w:rPr>
      </w:pPr>
    </w:p>
    <w:p w:rsidR="00CD0A30" w:rsidRPr="00CD0A30" w:rsidRDefault="00CD0A30" w:rsidP="00CD0A30">
      <w:pPr>
        <w:spacing w:after="0" w:line="240" w:lineRule="auto"/>
        <w:ind w:right="-91"/>
        <w:jc w:val="both"/>
        <w:rPr>
          <w:rFonts w:ascii="Arial" w:eastAsia="Times New Roman" w:hAnsi="Arial" w:cs="Arial"/>
          <w:szCs w:val="20"/>
          <w:lang w:val="es-ES" w:eastAsia="es-ES"/>
        </w:rPr>
      </w:pPr>
      <w:r w:rsidRPr="00CD0A30">
        <w:rPr>
          <w:rFonts w:ascii="Arial" w:eastAsia="Times New Roman" w:hAnsi="Arial" w:cs="Arial"/>
          <w:szCs w:val="20"/>
          <w:lang w:val="es-ES" w:eastAsia="es-ES"/>
        </w:rPr>
        <w:t>Bisagras</w:t>
      </w:r>
      <w:r w:rsidR="00292E0D">
        <w:rPr>
          <w:rFonts w:ascii="Arial" w:eastAsia="Times New Roman" w:hAnsi="Arial" w:cs="Arial"/>
          <w:szCs w:val="20"/>
          <w:lang w:val="es-ES" w:eastAsia="es-ES"/>
        </w:rPr>
        <w:t xml:space="preserve">: </w:t>
      </w:r>
      <w:r w:rsidRPr="00CD0A30">
        <w:rPr>
          <w:rFonts w:ascii="Arial" w:eastAsia="Times New Roman" w:hAnsi="Arial" w:cs="Arial"/>
          <w:szCs w:val="20"/>
          <w:lang w:val="es-ES" w:eastAsia="es-ES"/>
        </w:rPr>
        <w:t>Bisagras de acción tipo leva, de acero fundido, las cuales no son visibles desde el exterior de la puerta.</w:t>
      </w:r>
    </w:p>
    <w:p w:rsidR="00292E0D" w:rsidRDefault="00292E0D" w:rsidP="00CD0A30">
      <w:pPr>
        <w:spacing w:after="0" w:line="240" w:lineRule="auto"/>
        <w:ind w:right="-91"/>
        <w:jc w:val="both"/>
        <w:rPr>
          <w:rFonts w:ascii="Arial" w:eastAsia="Times New Roman" w:hAnsi="Arial" w:cs="Arial"/>
          <w:szCs w:val="20"/>
          <w:lang w:val="es-ES" w:eastAsia="es-ES"/>
        </w:rPr>
      </w:pPr>
    </w:p>
    <w:p w:rsidR="00CD0A30" w:rsidRPr="00CD0A30" w:rsidRDefault="00CD0A30" w:rsidP="00CD0A30">
      <w:pPr>
        <w:spacing w:after="0" w:line="240" w:lineRule="auto"/>
        <w:ind w:right="-91"/>
        <w:jc w:val="both"/>
        <w:rPr>
          <w:rFonts w:ascii="Arial" w:eastAsia="Times New Roman" w:hAnsi="Arial" w:cs="Arial"/>
          <w:szCs w:val="20"/>
          <w:lang w:val="es-ES" w:eastAsia="es-ES"/>
        </w:rPr>
      </w:pPr>
      <w:r w:rsidRPr="00CD0A30">
        <w:rPr>
          <w:rFonts w:ascii="Arial" w:eastAsia="Times New Roman" w:hAnsi="Arial" w:cs="Arial"/>
          <w:szCs w:val="20"/>
          <w:lang w:val="es-ES" w:eastAsia="es-ES"/>
        </w:rPr>
        <w:t>Cerradura</w:t>
      </w:r>
      <w:r w:rsidR="00292E0D">
        <w:rPr>
          <w:rFonts w:ascii="Arial" w:eastAsia="Times New Roman" w:hAnsi="Arial" w:cs="Arial"/>
          <w:szCs w:val="20"/>
          <w:lang w:val="es-ES" w:eastAsia="es-ES"/>
        </w:rPr>
        <w:t>]: Cerrojo</w:t>
      </w:r>
      <w:r w:rsidRPr="00CD0A30">
        <w:rPr>
          <w:rFonts w:ascii="Arial" w:eastAsia="Times New Roman" w:hAnsi="Arial" w:cs="Arial"/>
          <w:szCs w:val="20"/>
          <w:lang w:val="es-ES" w:eastAsia="es-ES"/>
        </w:rPr>
        <w:t xml:space="preserve"> de cierre por golpe de acero inoxidable tipo 316 con manivela interior fija y manivela exterior desmontable giratoria y  para levantar. </w:t>
      </w:r>
    </w:p>
    <w:p w:rsidR="00292E0D" w:rsidRDefault="00292E0D" w:rsidP="00CD0A30">
      <w:pPr>
        <w:spacing w:after="0" w:line="240" w:lineRule="auto"/>
        <w:ind w:right="-91"/>
        <w:jc w:val="both"/>
        <w:rPr>
          <w:rFonts w:ascii="Arial" w:eastAsia="Times New Roman" w:hAnsi="Arial" w:cs="Arial"/>
          <w:szCs w:val="20"/>
          <w:lang w:val="es-ES" w:eastAsia="es-ES"/>
        </w:rPr>
      </w:pPr>
    </w:p>
    <w:p w:rsidR="00CD0A30" w:rsidRPr="00CD0A30" w:rsidRDefault="00CD0A30" w:rsidP="00CD0A30">
      <w:pPr>
        <w:spacing w:after="0" w:line="240" w:lineRule="auto"/>
        <w:ind w:right="-91"/>
        <w:jc w:val="both"/>
        <w:rPr>
          <w:rFonts w:ascii="Arial" w:eastAsia="Times New Roman" w:hAnsi="Arial" w:cs="Arial"/>
          <w:szCs w:val="20"/>
          <w:lang w:val="es-ES" w:eastAsia="es-ES"/>
        </w:rPr>
      </w:pPr>
      <w:r w:rsidRPr="00CD0A30">
        <w:rPr>
          <w:rFonts w:ascii="Arial" w:eastAsia="Times New Roman" w:hAnsi="Arial" w:cs="Arial"/>
          <w:szCs w:val="20"/>
          <w:lang w:val="es-ES" w:eastAsia="es-ES"/>
        </w:rPr>
        <w:t>Elevación Asistida</w:t>
      </w:r>
      <w:r w:rsidR="00292E0D">
        <w:rPr>
          <w:rFonts w:ascii="Arial" w:eastAsia="Times New Roman" w:hAnsi="Arial" w:cs="Arial"/>
          <w:szCs w:val="20"/>
          <w:lang w:val="es-ES" w:eastAsia="es-ES"/>
        </w:rPr>
        <w:t xml:space="preserve">: </w:t>
      </w:r>
      <w:r w:rsidRPr="00CD0A30">
        <w:rPr>
          <w:rFonts w:ascii="Arial" w:eastAsia="Times New Roman" w:hAnsi="Arial" w:cs="Arial"/>
          <w:szCs w:val="20"/>
          <w:lang w:val="es-ES" w:eastAsia="es-ES"/>
        </w:rPr>
        <w:t>Barras de torsión que giran sobre bisagras de accionamiento tipo leva. Brazo automático de retención en posición abierta con mango para destrabar</w:t>
      </w:r>
    </w:p>
    <w:p w:rsidR="00CD0A30" w:rsidRPr="00CD0A30" w:rsidRDefault="00CD0A30" w:rsidP="00CD0A30">
      <w:pPr>
        <w:spacing w:after="0" w:line="240" w:lineRule="auto"/>
        <w:ind w:right="-91"/>
        <w:jc w:val="both"/>
        <w:rPr>
          <w:rFonts w:ascii="Arial" w:eastAsia="Times New Roman" w:hAnsi="Arial" w:cs="Arial"/>
          <w:szCs w:val="20"/>
          <w:lang w:val="es-ES" w:eastAsia="es-ES"/>
        </w:rPr>
      </w:pPr>
    </w:p>
    <w:p w:rsidR="00CD0A30" w:rsidRPr="00CD0A30" w:rsidRDefault="00CD0A30" w:rsidP="00292E0D">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Acabado</w:t>
      </w:r>
      <w:r w:rsidR="00292E0D">
        <w:rPr>
          <w:rFonts w:ascii="Arial" w:eastAsia="Times New Roman" w:hAnsi="Arial" w:cs="Arial"/>
          <w:lang w:val="es-ES" w:eastAsia="es-ES"/>
        </w:rPr>
        <w:t xml:space="preserve">: </w:t>
      </w:r>
      <w:r w:rsidRPr="00CD0A30">
        <w:rPr>
          <w:rFonts w:ascii="Arial" w:eastAsia="Times New Roman" w:hAnsi="Arial" w:cs="Arial"/>
          <w:lang w:val="es-ES" w:eastAsia="es-ES"/>
        </w:rPr>
        <w:t xml:space="preserve">Primer antioxidante </w:t>
      </w:r>
      <w:proofErr w:type="spellStart"/>
      <w:r w:rsidRPr="00CD0A30">
        <w:rPr>
          <w:rFonts w:ascii="Arial" w:eastAsia="Times New Roman" w:hAnsi="Arial" w:cs="Arial"/>
          <w:lang w:val="es-ES" w:eastAsia="es-ES"/>
        </w:rPr>
        <w:t>alquidalico</w:t>
      </w:r>
      <w:proofErr w:type="spellEnd"/>
      <w:r w:rsidRPr="00CD0A30">
        <w:rPr>
          <w:rFonts w:ascii="Arial" w:eastAsia="Times New Roman" w:hAnsi="Arial" w:cs="Arial"/>
          <w:lang w:val="es-ES" w:eastAsia="es-ES"/>
        </w:rPr>
        <w:t xml:space="preserve"> color rojo. Acabado Final en pintura anticorrosiva con las siguientes características: </w:t>
      </w:r>
    </w:p>
    <w:p w:rsidR="00292E0D" w:rsidRDefault="00CD0A30" w:rsidP="00CD0A30">
      <w:pPr>
        <w:autoSpaceDE w:val="0"/>
        <w:autoSpaceDN w:val="0"/>
        <w:adjustRightInd w:val="0"/>
        <w:spacing w:after="0" w:line="240" w:lineRule="auto"/>
        <w:ind w:right="-91"/>
        <w:jc w:val="both"/>
        <w:rPr>
          <w:rFonts w:ascii="Arial" w:eastAsia="Calibri" w:hAnsi="Arial" w:cs="Arial"/>
          <w:lang w:eastAsia="en-US"/>
        </w:rPr>
      </w:pPr>
      <w:r w:rsidRPr="00CD0A30">
        <w:rPr>
          <w:rFonts w:ascii="Arial" w:eastAsia="Calibri" w:hAnsi="Arial" w:cs="Arial"/>
          <w:lang w:eastAsia="en-US"/>
        </w:rPr>
        <w:lastRenderedPageBreak/>
        <w:t>Se denominan pinturas anticorrosivas o protectoras para estructuras metálicas a un conjunto de productos industriales que se presentan en estado líquido, pastoso o sólido pulverulento y que, aplicados en forma de recubrimiento superficial sobre superficies metálicas, se transforman mediante procesos físicos o químicos en una película sólida, adherida, continua y duradera cuya finalidad es la de evitar o inhibir la corrosión metálica, además de dotar de alguna cualidad estética</w:t>
      </w:r>
      <w:r w:rsidR="00292E0D">
        <w:rPr>
          <w:rFonts w:ascii="Arial" w:eastAsia="Calibri" w:hAnsi="Arial" w:cs="Arial"/>
          <w:lang w:eastAsia="en-US"/>
        </w:rPr>
        <w:t xml:space="preserve"> u</w:t>
      </w:r>
      <w:r w:rsidRPr="00CD0A30">
        <w:rPr>
          <w:rFonts w:ascii="Arial" w:eastAsia="Calibri" w:hAnsi="Arial" w:cs="Arial"/>
          <w:lang w:eastAsia="en-US"/>
        </w:rPr>
        <w:t xml:space="preserve"> alguna otra técnicamente espe</w:t>
      </w:r>
      <w:r w:rsidR="00292E0D">
        <w:rPr>
          <w:rFonts w:ascii="Arial" w:eastAsia="Calibri" w:hAnsi="Arial" w:cs="Arial"/>
          <w:lang w:eastAsia="en-US"/>
        </w:rPr>
        <w:t>cífica.</w:t>
      </w:r>
    </w:p>
    <w:p w:rsidR="00292E0D" w:rsidRDefault="00292E0D" w:rsidP="00CD0A30">
      <w:pPr>
        <w:autoSpaceDE w:val="0"/>
        <w:autoSpaceDN w:val="0"/>
        <w:adjustRightInd w:val="0"/>
        <w:spacing w:after="0" w:line="240" w:lineRule="auto"/>
        <w:ind w:right="-91"/>
        <w:jc w:val="both"/>
        <w:rPr>
          <w:rFonts w:ascii="Arial" w:eastAsia="Calibri" w:hAnsi="Arial" w:cs="Arial"/>
          <w:lang w:eastAsia="en-US"/>
        </w:rPr>
      </w:pPr>
    </w:p>
    <w:p w:rsidR="00CD0A30" w:rsidRPr="00CD0A30" w:rsidRDefault="00CD0A30" w:rsidP="00CD0A30">
      <w:pPr>
        <w:autoSpaceDE w:val="0"/>
        <w:autoSpaceDN w:val="0"/>
        <w:adjustRightInd w:val="0"/>
        <w:spacing w:after="0" w:line="240" w:lineRule="auto"/>
        <w:ind w:right="-91"/>
        <w:jc w:val="both"/>
        <w:rPr>
          <w:rFonts w:ascii="Arial" w:eastAsia="Calibri" w:hAnsi="Arial" w:cs="Arial"/>
          <w:lang w:eastAsia="en-US"/>
        </w:rPr>
      </w:pPr>
      <w:r w:rsidRPr="00CD0A30">
        <w:rPr>
          <w:rFonts w:ascii="Arial" w:eastAsia="Calibri" w:hAnsi="Arial" w:cs="Arial"/>
          <w:lang w:eastAsia="en-US"/>
        </w:rPr>
        <w:t>La pintura soportará la acción de los agentes atmosféricos para recibir sobre él una capa posterior de acabado, aplicada no más tarde de 30 días.</w:t>
      </w: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Herrajes</w:t>
      </w:r>
      <w:r w:rsidR="00292E0D">
        <w:rPr>
          <w:rFonts w:ascii="Arial" w:eastAsia="Times New Roman" w:hAnsi="Arial" w:cs="Arial"/>
          <w:lang w:val="es-ES" w:eastAsia="es-ES"/>
        </w:rPr>
        <w:t>: Galvanizados</w:t>
      </w:r>
      <w:r w:rsidRPr="00CD0A30">
        <w:rPr>
          <w:rFonts w:ascii="Arial" w:eastAsia="Times New Roman" w:hAnsi="Arial" w:cs="Arial"/>
          <w:lang w:val="es-ES" w:eastAsia="es-ES"/>
        </w:rPr>
        <w:t xml:space="preserve"> / cromados</w:t>
      </w: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Acabados Especiales</w:t>
      </w:r>
      <w:bookmarkStart w:id="0" w:name="_GoBack"/>
      <w:bookmarkEnd w:id="0"/>
      <w:r w:rsidR="00292E0D">
        <w:rPr>
          <w:rFonts w:ascii="Arial" w:eastAsia="Times New Roman" w:hAnsi="Arial" w:cs="Arial"/>
          <w:lang w:val="es-ES" w:eastAsia="es-ES"/>
        </w:rPr>
        <w:t>: Si</w:t>
      </w:r>
      <w:r w:rsidRPr="00CD0A30">
        <w:rPr>
          <w:rFonts w:ascii="Arial" w:eastAsia="Times New Roman" w:hAnsi="Arial" w:cs="Arial"/>
          <w:lang w:val="es-ES" w:eastAsia="es-ES"/>
        </w:rPr>
        <w:t xml:space="preserve"> así se especifica, las puertas y marcos </w:t>
      </w:r>
      <w:proofErr w:type="spellStart"/>
      <w:r w:rsidRPr="00CD0A30">
        <w:rPr>
          <w:rFonts w:ascii="Arial" w:eastAsia="Times New Roman" w:hAnsi="Arial" w:cs="Arial"/>
          <w:lang w:val="es-ES" w:eastAsia="es-ES"/>
        </w:rPr>
        <w:t>Bilco</w:t>
      </w:r>
      <w:proofErr w:type="spellEnd"/>
      <w:r w:rsidRPr="00CD0A30">
        <w:rPr>
          <w:rFonts w:ascii="Arial" w:eastAsia="Times New Roman" w:hAnsi="Arial" w:cs="Arial"/>
          <w:lang w:val="es-ES" w:eastAsia="es-ES"/>
        </w:rPr>
        <w:t xml:space="preserve"> Modelo J, JD, y Q de acero pueden ser provistas con un acabado galvanizado por inmersión en caliente (ASTM A-123). Todas las puertas de  aluminio pueden ser provistas con un acabado anodizado. </w:t>
      </w: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Herrajes de Acero Inoxidable</w:t>
      </w:r>
      <w:r w:rsidR="00292E0D">
        <w:rPr>
          <w:rFonts w:ascii="Arial" w:eastAsia="Times New Roman" w:hAnsi="Arial" w:cs="Arial"/>
          <w:lang w:val="es-ES" w:eastAsia="es-ES"/>
        </w:rPr>
        <w:t xml:space="preserve">: </w:t>
      </w:r>
      <w:r w:rsidRPr="00CD0A30">
        <w:rPr>
          <w:rFonts w:ascii="Arial" w:eastAsia="Times New Roman" w:hAnsi="Arial" w:cs="Arial"/>
          <w:lang w:val="es-ES" w:eastAsia="es-ES"/>
        </w:rPr>
        <w:t xml:space="preserve">Para instalación en ambientes altamente corrosivos o cuando se prevé una exposición prolongada al agua caliente o vapor, </w:t>
      </w:r>
      <w:proofErr w:type="spellStart"/>
      <w:r w:rsidRPr="00CD0A30">
        <w:rPr>
          <w:rFonts w:ascii="Arial" w:eastAsia="Times New Roman" w:hAnsi="Arial" w:cs="Arial"/>
          <w:lang w:val="es-ES" w:eastAsia="es-ES"/>
        </w:rPr>
        <w:t>Bilco</w:t>
      </w:r>
      <w:proofErr w:type="spellEnd"/>
      <w:r w:rsidRPr="00CD0A30">
        <w:rPr>
          <w:rFonts w:ascii="Arial" w:eastAsia="Times New Roman" w:hAnsi="Arial" w:cs="Arial"/>
          <w:lang w:val="es-ES" w:eastAsia="es-ES"/>
        </w:rPr>
        <w:t xml:space="preserve"> recomienda </w:t>
      </w:r>
      <w:proofErr w:type="spellStart"/>
      <w:r w:rsidRPr="00CD0A30">
        <w:rPr>
          <w:rFonts w:ascii="Arial" w:eastAsia="Times New Roman" w:hAnsi="Arial" w:cs="Arial"/>
          <w:lang w:val="es-ES" w:eastAsia="es-ES"/>
        </w:rPr>
        <w:t>morsetería</w:t>
      </w:r>
      <w:proofErr w:type="spellEnd"/>
      <w:r w:rsidRPr="00CD0A30">
        <w:rPr>
          <w:rFonts w:ascii="Arial" w:eastAsia="Times New Roman" w:hAnsi="Arial" w:cs="Arial"/>
          <w:lang w:val="es-ES" w:eastAsia="es-ES"/>
        </w:rPr>
        <w:t xml:space="preserve"> de acero inoxidable. Se emplea acero inoxidable  estándar Tipo 316 en las puertas Tipo J-AL, JD-AL, J-AL</w:t>
      </w: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H20 y JD-AL H20. </w:t>
      </w: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CD0A30" w:rsidP="00CD0A30">
      <w:pPr>
        <w:tabs>
          <w:tab w:val="left" w:pos="360"/>
          <w:tab w:val="left" w:pos="1418"/>
          <w:tab w:val="left" w:pos="1620"/>
        </w:tabs>
        <w:spacing w:after="0" w:line="240" w:lineRule="auto"/>
        <w:ind w:right="-91"/>
        <w:jc w:val="both"/>
        <w:rPr>
          <w:rFonts w:ascii="Arial" w:eastAsia="Times New Roman" w:hAnsi="Arial" w:cs="Arial"/>
          <w:b/>
          <w:lang w:val="es-ES"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val="es-ES" w:eastAsia="es-ES"/>
        </w:rPr>
        <w:t xml:space="preserve">Las puertas </w:t>
      </w:r>
      <w:proofErr w:type="spellStart"/>
      <w:r w:rsidRPr="00CD0A30">
        <w:rPr>
          <w:rFonts w:ascii="Arial" w:eastAsia="Times New Roman" w:hAnsi="Arial" w:cs="Arial"/>
          <w:lang w:val="es-ES" w:eastAsia="es-ES"/>
        </w:rPr>
        <w:t>Bilco</w:t>
      </w:r>
      <w:proofErr w:type="spellEnd"/>
      <w:r w:rsidRPr="00CD0A30">
        <w:rPr>
          <w:rFonts w:ascii="Arial" w:eastAsia="Times New Roman" w:hAnsi="Arial" w:cs="Arial"/>
          <w:lang w:val="es-ES" w:eastAsia="es-ES"/>
        </w:rPr>
        <w:t xml:space="preserve"> de acceso al nivel subterráneo de las estaciones (locales técnicos), se construirán de acuerdo a lo señalado en el proyecto. Las puertas se colocaran sobre muros de concreto armado (ubicación indicada en planos). Los anclajes del sistema quedaran ahogados en dichos muros, los cuales se especificaran en planos estructurales; verificando en todo momento que los niveles tanto de los muros como de las puertas sean de acuerdo con lo indicado en las especificaciones del proyecto. </w:t>
      </w:r>
    </w:p>
    <w:p w:rsidR="00CD0A30" w:rsidRPr="00CD0A30" w:rsidRDefault="00CD0A30" w:rsidP="00CD0A30">
      <w:pPr>
        <w:tabs>
          <w:tab w:val="left" w:pos="360"/>
          <w:tab w:val="left" w:pos="1418"/>
          <w:tab w:val="left" w:pos="1620"/>
        </w:tabs>
        <w:spacing w:after="0" w:line="240" w:lineRule="auto"/>
        <w:ind w:right="-91"/>
        <w:jc w:val="both"/>
        <w:rPr>
          <w:rFonts w:ascii="Arial" w:eastAsia="Times New Roman" w:hAnsi="Arial" w:cs="Arial"/>
          <w:lang w:val="es-ES" w:eastAsia="es-ES"/>
        </w:rPr>
      </w:pPr>
    </w:p>
    <w:p w:rsidR="00CD0A30" w:rsidRPr="00CD0A30" w:rsidRDefault="00CD0A30" w:rsidP="00CD0A30">
      <w:pPr>
        <w:tabs>
          <w:tab w:val="left" w:pos="360"/>
          <w:tab w:val="left" w:pos="1418"/>
          <w:tab w:val="left" w:pos="1620"/>
        </w:tabs>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Para mayor información sobre  la instalación y pintado de las puertas, referirse a los documentos de especificaciones técnicas  y  constructivas. En el apartado de pintura de elementos de acero.</w:t>
      </w:r>
    </w:p>
    <w:p w:rsidR="00CD0A30" w:rsidRPr="00CD0A30" w:rsidRDefault="00CD0A30" w:rsidP="00CD0A30">
      <w:pPr>
        <w:tabs>
          <w:tab w:val="left" w:pos="360"/>
          <w:tab w:val="left" w:pos="1418"/>
          <w:tab w:val="left" w:pos="1620"/>
        </w:tabs>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bCs/>
          <w:lang w:val="es-ES" w:eastAsia="es-ES"/>
        </w:rPr>
        <w:t xml:space="preserve">La medición de las </w:t>
      </w:r>
      <w:r w:rsidRPr="00CD0A30">
        <w:rPr>
          <w:rFonts w:ascii="Arial" w:eastAsia="Times New Roman" w:hAnsi="Arial" w:cs="Arial"/>
          <w:lang w:val="es-ES" w:eastAsia="es-ES"/>
        </w:rPr>
        <w:t xml:space="preserve">puertas </w:t>
      </w:r>
      <w:proofErr w:type="spellStart"/>
      <w:r w:rsidRPr="00CD0A30">
        <w:rPr>
          <w:rFonts w:ascii="Arial" w:eastAsia="Times New Roman" w:hAnsi="Arial" w:cs="Arial"/>
          <w:lang w:val="es-ES" w:eastAsia="es-ES"/>
        </w:rPr>
        <w:t>Bilco</w:t>
      </w:r>
      <w:proofErr w:type="spellEnd"/>
      <w:r w:rsidRPr="00CD0A30">
        <w:rPr>
          <w:rFonts w:ascii="Arial" w:eastAsia="Times New Roman" w:hAnsi="Arial" w:cs="Arial"/>
          <w:lang w:val="es-ES" w:eastAsia="es-ES"/>
        </w:rPr>
        <w:t xml:space="preserve">, por unidad de obra terminada, </w:t>
      </w:r>
      <w:r w:rsidRPr="00CD0A30">
        <w:rPr>
          <w:rFonts w:ascii="Arial" w:eastAsia="Times New Roman" w:hAnsi="Arial" w:cs="Arial"/>
          <w:bCs/>
          <w:lang w:val="es-ES" w:eastAsia="es-ES"/>
        </w:rPr>
        <w:t xml:space="preserve">se hará tomando como unidad </w:t>
      </w:r>
      <w:r w:rsidRPr="00CD0A30">
        <w:rPr>
          <w:rFonts w:ascii="Arial" w:eastAsia="Times New Roman" w:hAnsi="Arial" w:cs="Arial"/>
          <w:lang w:val="es-ES" w:eastAsia="es-ES"/>
        </w:rPr>
        <w:t>la pieza (pza.) terminada.</w:t>
      </w:r>
    </w:p>
    <w:p w:rsidR="00292E0D" w:rsidRDefault="00292E0D"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val="es-ES" w:eastAsia="es-ES"/>
        </w:rPr>
        <w:t xml:space="preserve">La </w:t>
      </w:r>
      <w:r w:rsidRPr="00CD0A30">
        <w:rPr>
          <w:rFonts w:ascii="Arial" w:eastAsia="Times New Roman" w:hAnsi="Arial" w:cs="Arial"/>
          <w:lang w:val="es-ES" w:eastAsia="es-ES"/>
        </w:rPr>
        <w:t xml:space="preserve">construcción de  las puertas </w:t>
      </w:r>
      <w:proofErr w:type="spellStart"/>
      <w:r w:rsidRPr="00CD0A30">
        <w:rPr>
          <w:rFonts w:ascii="Arial" w:eastAsia="Times New Roman" w:hAnsi="Arial" w:cs="Arial"/>
          <w:lang w:val="es-ES" w:eastAsia="es-ES"/>
        </w:rPr>
        <w:t>Bilco</w:t>
      </w:r>
      <w:proofErr w:type="spellEnd"/>
      <w:r w:rsidRPr="00CD0A30">
        <w:rPr>
          <w:rFonts w:ascii="Arial" w:eastAsia="Times New Roman" w:hAnsi="Arial" w:cs="Arial"/>
          <w:lang w:val="es-ES" w:eastAsia="es-ES"/>
        </w:rPr>
        <w:t>, Por Unidad de Obra Terminada,</w:t>
      </w:r>
      <w:r w:rsidRPr="00CD0A30">
        <w:rPr>
          <w:rFonts w:ascii="Arial" w:eastAsia="Times New Roman" w:hAnsi="Arial" w:cs="Arial"/>
          <w:bCs/>
          <w:lang w:val="es-ES" w:eastAsia="es-ES"/>
        </w:rPr>
        <w:t xml:space="preserve"> se pagará al precio unitario fijado en el contrato para </w:t>
      </w:r>
      <w:r w:rsidRPr="00CD0A30">
        <w:rPr>
          <w:rFonts w:ascii="Arial" w:eastAsia="Times New Roman" w:hAnsi="Arial" w:cs="Arial"/>
          <w:lang w:val="es-ES" w:eastAsia="es-ES"/>
        </w:rPr>
        <w:t>la pieza (pza.) terminada de acuerdo con las especificaciones del proyecto. Este precio unitario incluye lo que corresponda por: equipo y herramientas, mano de obra, los acarreos que sean necesarios, limpieza de la obra, y todo lo necesario para la correcta ejecución de este concepto, y los tiempos de los vehículos empleados en los transportes durante las cargas y descargas.</w:t>
      </w: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r w:rsidRPr="00CD0A30">
        <w:rPr>
          <w:rFonts w:ascii="Times New Roman" w:eastAsia="Times New Roman" w:hAnsi="Times New Roman" w:cs="Times New Roman"/>
          <w:lang w:val="es-ES" w:eastAsia="es-ES"/>
        </w:rPr>
        <w:t>ESQUEMAS DE  LAS PUERTAS BILCO</w:t>
      </w: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292E0D" w:rsidP="00CD0A30">
      <w:pPr>
        <w:spacing w:after="0" w:line="240" w:lineRule="auto"/>
        <w:ind w:right="-91"/>
        <w:jc w:val="both"/>
        <w:rPr>
          <w:rFonts w:ascii="Times New Roman" w:eastAsia="Times New Roman" w:hAnsi="Times New Roman" w:cs="Times New Roman"/>
          <w:lang w:val="es-ES" w:eastAsia="es-ES"/>
        </w:rPr>
      </w:pPr>
      <w:r w:rsidRPr="00CD0A30">
        <w:rPr>
          <w:rFonts w:ascii="Times New Roman" w:eastAsia="Times New Roman" w:hAnsi="Times New Roman" w:cs="Times New Roman"/>
          <w:noProof/>
        </w:rPr>
        <w:drawing>
          <wp:anchor distT="0" distB="0" distL="114300" distR="114300" simplePos="0" relativeHeight="251659264" behindDoc="0" locked="0" layoutInCell="1" allowOverlap="1" wp14:anchorId="7B7D7AB5" wp14:editId="17D97302">
            <wp:simplePos x="0" y="0"/>
            <wp:positionH relativeFrom="margin">
              <wp:posOffset>-946785</wp:posOffset>
            </wp:positionH>
            <wp:positionV relativeFrom="paragraph">
              <wp:posOffset>8890</wp:posOffset>
            </wp:positionV>
            <wp:extent cx="3011170" cy="1826895"/>
            <wp:effectExtent l="0" t="0" r="0" b="190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11170" cy="1826895"/>
                    </a:xfrm>
                    <a:prstGeom prst="rect">
                      <a:avLst/>
                    </a:prstGeom>
                  </pic:spPr>
                </pic:pic>
              </a:graphicData>
            </a:graphic>
          </wp:anchor>
        </w:drawing>
      </w:r>
      <w:r w:rsidRPr="00CD0A30">
        <w:rPr>
          <w:rFonts w:ascii="Times New Roman" w:eastAsia="Times New Roman" w:hAnsi="Times New Roman" w:cs="Times New Roman"/>
          <w:noProof/>
        </w:rPr>
        <w:drawing>
          <wp:anchor distT="0" distB="0" distL="114300" distR="114300" simplePos="0" relativeHeight="251660288" behindDoc="0" locked="0" layoutInCell="1" allowOverlap="1" wp14:anchorId="1938694A" wp14:editId="242BF834">
            <wp:simplePos x="0" y="0"/>
            <wp:positionH relativeFrom="margin">
              <wp:posOffset>2066290</wp:posOffset>
            </wp:positionH>
            <wp:positionV relativeFrom="paragraph">
              <wp:posOffset>8890</wp:posOffset>
            </wp:positionV>
            <wp:extent cx="4472940" cy="1837055"/>
            <wp:effectExtent l="0" t="0" r="381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72940" cy="1837055"/>
                    </a:xfrm>
                    <a:prstGeom prst="rect">
                      <a:avLst/>
                    </a:prstGeom>
                  </pic:spPr>
                </pic:pic>
              </a:graphicData>
            </a:graphic>
            <wp14:sizeRelH relativeFrom="margin">
              <wp14:pctWidth>0</wp14:pctWidth>
            </wp14:sizeRelH>
            <wp14:sizeRelV relativeFrom="margin">
              <wp14:pctHeight>0</wp14:pctHeight>
            </wp14:sizeRelV>
          </wp:anchor>
        </w:drawing>
      </w: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val="es-ES" w:eastAsia="es-ES"/>
        </w:rPr>
        <w:t>etc</w:t>
      </w:r>
      <w:proofErr w:type="spellEnd"/>
      <w:r w:rsidRPr="00CD0A30">
        <w:rPr>
          <w:rFonts w:ascii="Arial" w:eastAsia="Times New Roman" w:hAnsi="Arial" w:cs="Arial"/>
          <w:lang w:val="es-ES"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val="es-ES" w:eastAsia="es-ES"/>
        </w:rPr>
        <w:t>ó</w:t>
      </w:r>
      <w:proofErr w:type="spellEnd"/>
      <w:r w:rsidRPr="00CD0A30">
        <w:rPr>
          <w:rFonts w:ascii="Arial" w:eastAsia="Times New Roman" w:hAnsi="Arial" w:cs="Arial"/>
          <w:lang w:val="es-ES"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w:t>
      </w:r>
      <w:r w:rsidR="00292E0D">
        <w:rPr>
          <w:rFonts w:ascii="Arial" w:eastAsia="Times New Roman" w:hAnsi="Arial" w:cs="Arial"/>
          <w:lang w:val="es-ES" w:eastAsia="es-ES"/>
        </w:rPr>
        <w:t>gos adicionales del contratista.</w:t>
      </w:r>
    </w:p>
    <w:sectPr w:rsidR="00CD0A30" w:rsidRPr="00CD0A30">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003" w:rsidRDefault="00E33003" w:rsidP="00CD0A30">
      <w:pPr>
        <w:spacing w:after="0" w:line="240" w:lineRule="auto"/>
      </w:pPr>
      <w:r>
        <w:separator/>
      </w:r>
    </w:p>
  </w:endnote>
  <w:endnote w:type="continuationSeparator" w:id="0">
    <w:p w:rsidR="00E33003" w:rsidRDefault="00E33003"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292E0D" w:rsidRPr="00292E0D">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003" w:rsidRDefault="00E33003" w:rsidP="00CD0A30">
      <w:pPr>
        <w:spacing w:after="0" w:line="240" w:lineRule="auto"/>
      </w:pPr>
      <w:r>
        <w:separator/>
      </w:r>
    </w:p>
  </w:footnote>
  <w:footnote w:type="continuationSeparator" w:id="0">
    <w:p w:rsidR="00E33003" w:rsidRDefault="00E33003"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E0D" w:rsidRPr="00CD0A30" w:rsidRDefault="00292E0D" w:rsidP="00292E0D">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292E0D">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292E0D"/>
    <w:rsid w:val="00315C8F"/>
    <w:rsid w:val="0032753C"/>
    <w:rsid w:val="003D473F"/>
    <w:rsid w:val="004E5B6D"/>
    <w:rsid w:val="006058B6"/>
    <w:rsid w:val="00613EF5"/>
    <w:rsid w:val="006B7546"/>
    <w:rsid w:val="006C56E8"/>
    <w:rsid w:val="00747F51"/>
    <w:rsid w:val="009D4929"/>
    <w:rsid w:val="00A25E2A"/>
    <w:rsid w:val="00C73957"/>
    <w:rsid w:val="00CC7CC7"/>
    <w:rsid w:val="00CD0A30"/>
    <w:rsid w:val="00E33003"/>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Pages>
  <Words>1164</Words>
  <Characters>6404</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2014-04-15T15:43:00Z</dcterms:modified>
</cp:coreProperties>
</file>